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85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D10BB2" w:rsidRPr="006A1E5D" w:rsidTr="006A1E5D">
        <w:tc>
          <w:tcPr>
            <w:tcW w:w="3686" w:type="dxa"/>
          </w:tcPr>
          <w:p w:rsidR="00D10BB2" w:rsidRPr="00797163" w:rsidRDefault="00D10BB2" w:rsidP="006A1E5D">
            <w:pPr>
              <w:rPr>
                <w:b/>
                <w:lang w:val="lv-LV"/>
              </w:rPr>
            </w:pPr>
            <w:r w:rsidRPr="00797163">
              <w:rPr>
                <w:b/>
                <w:lang w:val="lv-LV"/>
              </w:rPr>
              <w:t>Jautājums Nr.1</w:t>
            </w:r>
          </w:p>
          <w:p w:rsidR="00D10BB2" w:rsidRPr="00797163" w:rsidRDefault="00D10BB2" w:rsidP="006A1E5D">
            <w:pPr>
              <w:rPr>
                <w:lang w:val="lv-LV"/>
              </w:rPr>
            </w:pPr>
            <w:r w:rsidRPr="00797163">
              <w:rPr>
                <w:lang w:val="lv-LV"/>
              </w:rPr>
              <w:t xml:space="preserve">Saskaņā ar Rēzeknes tehnikuma 2014. gada 21. novembra atbildes vēstuli </w:t>
            </w:r>
            <w:r w:rsidRPr="00D10BB2">
              <w:rPr>
                <w:i/>
                <w:lang w:val="lv-LV"/>
              </w:rPr>
              <w:t>„Pretendents”</w:t>
            </w:r>
            <w:r w:rsidRPr="00797163">
              <w:rPr>
                <w:lang w:val="lv-LV"/>
              </w:rPr>
              <w:t xml:space="preserve"> vērš Jūsu uzmanību, ka analogo pakalpojumu, kas paliek aktīvs arī pie strāvas zudumiem var nodrošināt tikai viens elektronisko sakaru operators Latvijā SIA „</w:t>
            </w:r>
            <w:proofErr w:type="spellStart"/>
            <w:r w:rsidRPr="00797163">
              <w:rPr>
                <w:lang w:val="lv-LV"/>
              </w:rPr>
              <w:t>Latttelecom</w:t>
            </w:r>
            <w:proofErr w:type="spellEnd"/>
            <w:r w:rsidRPr="00797163">
              <w:rPr>
                <w:lang w:val="lv-LV"/>
              </w:rPr>
              <w:t>”.</w:t>
            </w:r>
          </w:p>
          <w:p w:rsidR="00D10BB2" w:rsidRPr="00797163" w:rsidRDefault="00D10BB2" w:rsidP="006A1E5D">
            <w:pPr>
              <w:rPr>
                <w:lang w:val="lv-LV"/>
              </w:rPr>
            </w:pPr>
            <w:r w:rsidRPr="00797163">
              <w:rPr>
                <w:lang w:val="lv-LV"/>
              </w:rPr>
              <w:t xml:space="preserve">Līdz ar to lūdzam izslēgt no iepirkuma nolikuma Tehniskās specifikācijas 2. daļas 7.4. punktu, pretējā gadījumā, būsim spiesti vērsties uz Iepirkumu uzraudzības biroju ar mērķi izvērtēt iepirkumu komisijas atbilstību </w:t>
            </w:r>
            <w:proofErr w:type="spellStart"/>
            <w:r w:rsidRPr="00797163">
              <w:rPr>
                <w:lang w:val="lv-LV"/>
              </w:rPr>
              <w:t>ieņemajiem</w:t>
            </w:r>
            <w:proofErr w:type="spellEnd"/>
            <w:r w:rsidRPr="00797163">
              <w:rPr>
                <w:lang w:val="lv-LV"/>
              </w:rPr>
              <w:t xml:space="preserve"> amatiem</w:t>
            </w:r>
          </w:p>
        </w:tc>
        <w:tc>
          <w:tcPr>
            <w:tcW w:w="5386" w:type="dxa"/>
          </w:tcPr>
          <w:p w:rsidR="00D10BB2" w:rsidRPr="00797163" w:rsidRDefault="00D10BB2" w:rsidP="006A1E5D">
            <w:pPr>
              <w:rPr>
                <w:b/>
                <w:lang w:val="lv-LV"/>
              </w:rPr>
            </w:pPr>
            <w:r w:rsidRPr="00797163">
              <w:rPr>
                <w:b/>
                <w:lang w:val="lv-LV"/>
              </w:rPr>
              <w:t>Atbilde:</w:t>
            </w:r>
          </w:p>
          <w:p w:rsidR="00D10BB2" w:rsidRPr="00797163" w:rsidRDefault="00D10BB2" w:rsidP="006A1E5D">
            <w:pPr>
              <w:jc w:val="both"/>
              <w:rPr>
                <w:lang w:val="lv-LV"/>
              </w:rPr>
            </w:pPr>
            <w:r w:rsidRPr="00797163">
              <w:rPr>
                <w:lang w:val="lv-LV"/>
              </w:rPr>
              <w:t>Saskaņā ar Sabiedrisko pakalpojumu regulēšanas komisijas lēmumiem(</w:t>
            </w:r>
            <w:r>
              <w:rPr>
                <w:lang w:val="lv-LV"/>
              </w:rPr>
              <w:t xml:space="preserve"> ar </w:t>
            </w:r>
            <w:r w:rsidRPr="00A42A70">
              <w:rPr>
                <w:lang w:val="lv-LV"/>
              </w:rPr>
              <w:t xml:space="preserve">lēmumiem par elektronisko sakaru komersantu ar būtisku ietekmi un saistību noteikšanu var iepazīties Komisijas </w:t>
            </w:r>
            <w:proofErr w:type="spellStart"/>
            <w:r w:rsidRPr="00A42A70">
              <w:rPr>
                <w:lang w:val="lv-LV"/>
              </w:rPr>
              <w:t>mājaslapā</w:t>
            </w:r>
            <w:proofErr w:type="spellEnd"/>
            <w:r w:rsidRPr="00A42A70">
              <w:rPr>
                <w:lang w:val="lv-LV"/>
              </w:rPr>
              <w:t xml:space="preserve"> – </w:t>
            </w:r>
            <w:proofErr w:type="spellStart"/>
            <w:r w:rsidRPr="00A42A70">
              <w:rPr>
                <w:lang w:val="lv-LV"/>
              </w:rPr>
              <w:t>www.sprk.gov.lv</w:t>
            </w:r>
            <w:proofErr w:type="spellEnd"/>
            <w:r w:rsidRPr="00797163">
              <w:rPr>
                <w:lang w:val="lv-LV"/>
              </w:rPr>
              <w:t>):</w:t>
            </w:r>
          </w:p>
          <w:p w:rsidR="00D10BB2" w:rsidRPr="00797163" w:rsidRDefault="00D10BB2" w:rsidP="006A1E5D">
            <w:pPr>
              <w:numPr>
                <w:ilvl w:val="0"/>
                <w:numId w:val="1"/>
              </w:numPr>
              <w:ind w:left="317" w:hanging="283"/>
              <w:contextualSpacing/>
              <w:jc w:val="both"/>
              <w:rPr>
                <w:rFonts w:eastAsia="Calibri"/>
                <w:szCs w:val="22"/>
                <w:lang w:val="lv-LV"/>
              </w:rPr>
            </w:pPr>
            <w:r w:rsidRPr="00797163">
              <w:rPr>
                <w:rFonts w:eastAsia="Calibri"/>
                <w:szCs w:val="22"/>
                <w:lang w:val="lv-LV"/>
              </w:rPr>
              <w:t>2007.gada 31.janvārā lēmums Nr.23 „Par sabiedrības ar ierobežotu atbildību „</w:t>
            </w:r>
            <w:proofErr w:type="spellStart"/>
            <w:r w:rsidRPr="00797163">
              <w:rPr>
                <w:rFonts w:eastAsia="Calibri"/>
                <w:szCs w:val="22"/>
                <w:lang w:val="lv-LV"/>
              </w:rPr>
              <w:t>Lattelecom</w:t>
            </w:r>
            <w:proofErr w:type="spellEnd"/>
            <w:r w:rsidRPr="00797163">
              <w:rPr>
                <w:rFonts w:eastAsia="Calibri"/>
                <w:szCs w:val="22"/>
                <w:lang w:val="lv-LV"/>
              </w:rPr>
              <w:t>” būtisku ietekmi atsaistītas piekļuves (tai skaitā daļējas piekļuves) metāliskajām abonentlīnijām un to segmentiem, lai nodrošinātu platjoslas datu pārraides un balss pārraides pakalpojumus Latvijas Republikas teritorijā, tirgū”,</w:t>
            </w:r>
          </w:p>
          <w:p w:rsidR="00D10BB2" w:rsidRPr="00797163" w:rsidRDefault="00D10BB2" w:rsidP="006A1E5D">
            <w:pPr>
              <w:numPr>
                <w:ilvl w:val="0"/>
                <w:numId w:val="1"/>
              </w:numPr>
              <w:ind w:left="317" w:hanging="317"/>
              <w:contextualSpacing/>
              <w:jc w:val="both"/>
              <w:rPr>
                <w:rFonts w:eastAsia="Calibri"/>
                <w:szCs w:val="22"/>
                <w:lang w:val="lv-LV"/>
              </w:rPr>
            </w:pPr>
            <w:r w:rsidRPr="00797163">
              <w:rPr>
                <w:rFonts w:eastAsia="Calibri"/>
                <w:szCs w:val="22"/>
                <w:lang w:val="lv-LV"/>
              </w:rPr>
              <w:t>2007.gada 31.janvāra lēmumu Nr.24 „Par sabiedrības ar ierobežotu atbildību „</w:t>
            </w:r>
            <w:proofErr w:type="spellStart"/>
            <w:r w:rsidRPr="00797163">
              <w:rPr>
                <w:rFonts w:eastAsia="Calibri"/>
                <w:szCs w:val="22"/>
                <w:lang w:val="lv-LV"/>
              </w:rPr>
              <w:t>Lattelecom</w:t>
            </w:r>
            <w:proofErr w:type="spellEnd"/>
            <w:r w:rsidRPr="00797163">
              <w:rPr>
                <w:rFonts w:eastAsia="Calibri"/>
                <w:szCs w:val="22"/>
                <w:lang w:val="lv-LV"/>
              </w:rPr>
              <w:t>” būtisku ietekmi platjoslas piekļuves vairumtirdzniecības Latvijas Republikas teritorijā, tirgū”,</w:t>
            </w:r>
          </w:p>
          <w:p w:rsidR="00D10BB2" w:rsidRPr="00797163" w:rsidRDefault="00D10BB2" w:rsidP="006A1E5D">
            <w:pPr>
              <w:jc w:val="both"/>
              <w:rPr>
                <w:lang w:val="lv-LV"/>
              </w:rPr>
            </w:pPr>
            <w:r w:rsidRPr="00797163">
              <w:rPr>
                <w:lang w:val="lv-LV"/>
              </w:rPr>
              <w:t>Jebkurš Latvijā reģistrēts elektronisko sakaru komersants var piekļūt metāliskajām abonentlīnijām un to segmentiem kā arī piedāvāt konkurētspējīgus pakalpojumus, lai nodrošinātu Rēzeknes Tehnikuma (turpmāk – Pasūtītājs)  prasībām atbilstošu balss pakalpojumu kvalitāti.</w:t>
            </w:r>
          </w:p>
          <w:p w:rsidR="00D10BB2" w:rsidRPr="00797163" w:rsidRDefault="00D10BB2" w:rsidP="006A1E5D">
            <w:pPr>
              <w:ind w:firstLine="720"/>
              <w:jc w:val="both"/>
              <w:rPr>
                <w:lang w:val="lv-LV"/>
              </w:rPr>
            </w:pPr>
            <w:r w:rsidRPr="00797163">
              <w:rPr>
                <w:lang w:val="lv-LV"/>
              </w:rPr>
              <w:t xml:space="preserve">Rēzeknes tehnikums ir izglītības iestāde, kam mācību vietas ir Rēzeknes pilsētā, Rēzeknes novadā </w:t>
            </w:r>
            <w:proofErr w:type="spellStart"/>
            <w:r w:rsidRPr="00797163">
              <w:rPr>
                <w:lang w:val="lv-LV"/>
              </w:rPr>
              <w:t>Jupatovkā</w:t>
            </w:r>
            <w:proofErr w:type="spellEnd"/>
            <w:r w:rsidRPr="00797163">
              <w:rPr>
                <w:lang w:val="lv-LV"/>
              </w:rPr>
              <w:t xml:space="preserve"> un Lūznavā, Viļānu novadā Viļānos un Zilupes pilsētā. </w:t>
            </w:r>
            <w:r w:rsidRPr="00797163">
              <w:rPr>
                <w:u w:val="single"/>
                <w:lang w:val="lv-LV"/>
              </w:rPr>
              <w:t xml:space="preserve">Savukārt mācību vietās -   </w:t>
            </w:r>
            <w:proofErr w:type="spellStart"/>
            <w:r w:rsidRPr="00797163">
              <w:rPr>
                <w:u w:val="single"/>
                <w:lang w:val="lv-LV"/>
              </w:rPr>
              <w:t>Jupatovkā</w:t>
            </w:r>
            <w:proofErr w:type="spellEnd"/>
            <w:r w:rsidRPr="00797163">
              <w:rPr>
                <w:u w:val="single"/>
                <w:lang w:val="lv-LV"/>
              </w:rPr>
              <w:t>, Griškānu pagastā, Rēzeknes novadā; Bērzu alejā 2, Lūznavā, Rēzeknes novadā un Kultūras laukumā 1, Viļānos, Viļānu novadā - ir strāvas zudumi, kas nav atkarīgi no Pasūtītāja darbības un kas būtiski ietekmē</w:t>
            </w:r>
            <w:r w:rsidRPr="00797163">
              <w:rPr>
                <w:lang w:val="lv-LV"/>
              </w:rPr>
              <w:t xml:space="preserve"> izglītības procesa darba nepārtrauktību atbilstoši likumiem un  normatīvajiem aktiem, kas uz to attiecas. Pasūtītājam ir nepieciešami stabili sakari, kas nodrošina pakalpojuma darbības nepārtrauktību arī pie strāvas zudumiem.</w:t>
            </w:r>
          </w:p>
          <w:p w:rsidR="00D10BB2" w:rsidRPr="00797163" w:rsidRDefault="00D10BB2" w:rsidP="006A1E5D">
            <w:pPr>
              <w:ind w:firstLine="720"/>
              <w:jc w:val="both"/>
              <w:rPr>
                <w:lang w:val="lv-LV"/>
              </w:rPr>
            </w:pPr>
            <w:r w:rsidRPr="00797163">
              <w:rPr>
                <w:lang w:val="lv-LV"/>
              </w:rPr>
              <w:t>Konsultējoties ar Iepirkumu uzraudzības biroju par Pasūtītājam nepieciešamajiem pakalpojumiem, tika saņemta atbilde, ka Pasūtītājam ir tiesības saņemt atbilstošas kvalitātes pakalpojum</w:t>
            </w:r>
            <w:r>
              <w:rPr>
                <w:lang w:val="lv-LV"/>
              </w:rPr>
              <w:t>u, ja tam ir būtisks pamatojums.</w:t>
            </w:r>
          </w:p>
        </w:tc>
      </w:tr>
    </w:tbl>
    <w:p w:rsidR="00F51883" w:rsidRDefault="00F51883">
      <w:pPr>
        <w:rPr>
          <w:lang w:val="lv-LV"/>
        </w:rPr>
      </w:pPr>
    </w:p>
    <w:p w:rsidR="00D10BB2" w:rsidRPr="006A1E5D" w:rsidRDefault="006A1E5D">
      <w:pPr>
        <w:rPr>
          <w:b/>
          <w:lang w:val="lv-LV"/>
        </w:rPr>
      </w:pPr>
      <w:r w:rsidRPr="006A1E5D">
        <w:rPr>
          <w:b/>
          <w:lang w:val="lv-LV"/>
        </w:rPr>
        <w:t>Jautājumi un atbildes</w:t>
      </w:r>
    </w:p>
    <w:p w:rsidR="006A1E5D" w:rsidRPr="00D10BB2" w:rsidRDefault="006A1E5D">
      <w:pPr>
        <w:rPr>
          <w:lang w:val="lv-LV"/>
        </w:rPr>
      </w:pPr>
      <w:r>
        <w:rPr>
          <w:lang w:val="lv-LV"/>
        </w:rPr>
        <w:t>24.11.2014.</w:t>
      </w:r>
      <w:bookmarkStart w:id="0" w:name="_GoBack"/>
      <w:bookmarkEnd w:id="0"/>
    </w:p>
    <w:sectPr w:rsidR="006A1E5D" w:rsidRPr="00D10B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E69"/>
    <w:multiLevelType w:val="hybridMultilevel"/>
    <w:tmpl w:val="E09EA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2"/>
    <w:rsid w:val="00251A4A"/>
    <w:rsid w:val="003B18CC"/>
    <w:rsid w:val="006A1E5D"/>
    <w:rsid w:val="00D10BB2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B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table" w:styleId="TableGrid">
    <w:name w:val="Table Grid"/>
    <w:basedOn w:val="TableNormal"/>
    <w:uiPriority w:val="59"/>
    <w:rsid w:val="00D1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B2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51A4A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eastAsiaTheme="majorEastAsia" w:hAnsi="Arial" w:cstheme="majorBidi"/>
      <w:b/>
      <w:kern w:val="28"/>
      <w:sz w:val="28"/>
    </w:rPr>
  </w:style>
  <w:style w:type="paragraph" w:styleId="Heading2">
    <w:name w:val="heading 2"/>
    <w:basedOn w:val="Normal"/>
    <w:link w:val="Heading2Char"/>
    <w:qFormat/>
    <w:rsid w:val="00251A4A"/>
    <w:pPr>
      <w:tabs>
        <w:tab w:val="left" w:pos="576"/>
      </w:tabs>
      <w:spacing w:before="240" w:after="120"/>
      <w:ind w:left="578" w:hanging="578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51A4A"/>
    <w:pPr>
      <w:spacing w:before="60"/>
      <w:ind w:left="1134" w:hanging="708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1A4A"/>
    <w:rPr>
      <w:rFonts w:ascii="Arial" w:eastAsiaTheme="majorEastAsia" w:hAnsi="Arial" w:cstheme="majorBidi"/>
      <w:b/>
      <w:kern w:val="28"/>
      <w:sz w:val="28"/>
    </w:rPr>
  </w:style>
  <w:style w:type="paragraph" w:styleId="NoSpacing">
    <w:name w:val="No Spacing"/>
    <w:uiPriority w:val="1"/>
    <w:qFormat/>
    <w:rsid w:val="003B18CC"/>
  </w:style>
  <w:style w:type="paragraph" w:styleId="ListParagraph">
    <w:name w:val="List Paragraph"/>
    <w:basedOn w:val="Normal"/>
    <w:qFormat/>
    <w:rsid w:val="00251A4A"/>
    <w:pPr>
      <w:ind w:left="720"/>
      <w:contextualSpacing/>
    </w:pPr>
    <w:rPr>
      <w:rFonts w:eastAsia="Calibri"/>
      <w:szCs w:val="22"/>
    </w:rPr>
  </w:style>
  <w:style w:type="character" w:customStyle="1" w:styleId="Heading2Char">
    <w:name w:val="Heading 2 Char"/>
    <w:link w:val="Heading2"/>
    <w:rsid w:val="00251A4A"/>
    <w:rPr>
      <w:sz w:val="24"/>
    </w:rPr>
  </w:style>
  <w:style w:type="character" w:customStyle="1" w:styleId="Heading3Char">
    <w:name w:val="Heading 3 Char"/>
    <w:basedOn w:val="DefaultParagraphFont"/>
    <w:link w:val="Heading3"/>
    <w:rsid w:val="00251A4A"/>
    <w:rPr>
      <w:sz w:val="24"/>
    </w:rPr>
  </w:style>
  <w:style w:type="character" w:styleId="Strong">
    <w:name w:val="Strong"/>
    <w:qFormat/>
    <w:rsid w:val="00251A4A"/>
    <w:rPr>
      <w:b/>
    </w:rPr>
  </w:style>
  <w:style w:type="table" w:styleId="TableGrid">
    <w:name w:val="Table Grid"/>
    <w:basedOn w:val="TableNormal"/>
    <w:uiPriority w:val="59"/>
    <w:rsid w:val="00D1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2014-11-24T12:45:00Z</dcterms:created>
  <dcterms:modified xsi:type="dcterms:W3CDTF">2014-11-24T12:53:00Z</dcterms:modified>
</cp:coreProperties>
</file>