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AA" w:rsidRPr="00554D80" w:rsidRDefault="005669AA" w:rsidP="005669AA">
      <w:pPr>
        <w:jc w:val="center"/>
      </w:pPr>
      <w:r>
        <w:rPr>
          <w:noProof/>
        </w:rPr>
        <w:drawing>
          <wp:inline distT="0" distB="0" distL="0" distR="0">
            <wp:extent cx="800100" cy="647700"/>
            <wp:effectExtent l="19050" t="0" r="0" b="0"/>
            <wp:docPr id="2" name="Picture 25" descr="C:\Documents and Settings\kristine.pavelkovska\Desktop\logo bildes\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kristine.pavelkovska\Desktop\logo bildes\ES.bmp"/>
                    <pic:cNvPicPr>
                      <a:picLocks noChangeAspect="1" noChangeArrowheads="1"/>
                    </pic:cNvPicPr>
                  </pic:nvPicPr>
                  <pic:blipFill>
                    <a:blip r:embed="rId4"/>
                    <a:srcRect/>
                    <a:stretch>
                      <a:fillRect/>
                    </a:stretch>
                  </pic:blipFill>
                  <pic:spPr bwMode="auto">
                    <a:xfrm>
                      <a:off x="0" y="0"/>
                      <a:ext cx="800100" cy="647700"/>
                    </a:xfrm>
                    <a:prstGeom prst="rect">
                      <a:avLst/>
                    </a:prstGeom>
                    <a:noFill/>
                    <a:ln w="9525">
                      <a:noFill/>
                      <a:miter lim="800000"/>
                      <a:headEnd/>
                      <a:tailEnd/>
                    </a:ln>
                  </pic:spPr>
                </pic:pic>
              </a:graphicData>
            </a:graphic>
          </wp:inline>
        </w:drawing>
      </w:r>
      <w:r w:rsidRPr="00554D80">
        <w:tab/>
      </w:r>
      <w:r w:rsidRPr="00554D80">
        <w:tab/>
      </w:r>
      <w:r w:rsidR="00AE27D6">
        <w:rPr>
          <w:noProof/>
        </w:rPr>
        <w:drawing>
          <wp:inline distT="0" distB="0" distL="0" distR="0">
            <wp:extent cx="1838325" cy="209550"/>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838325" cy="209550"/>
                    </a:xfrm>
                    <a:prstGeom prst="rect">
                      <a:avLst/>
                    </a:prstGeom>
                    <a:noFill/>
                    <a:ln w="9525">
                      <a:noFill/>
                      <a:miter lim="800000"/>
                      <a:headEnd/>
                      <a:tailEnd/>
                    </a:ln>
                  </pic:spPr>
                </pic:pic>
              </a:graphicData>
            </a:graphic>
          </wp:inline>
        </w:drawing>
      </w:r>
      <w:r w:rsidR="00AE27D6">
        <w:tab/>
      </w:r>
      <w:r>
        <w:rPr>
          <w:noProof/>
        </w:rPr>
        <w:drawing>
          <wp:inline distT="0" distB="0" distL="0" distR="0">
            <wp:extent cx="1190625" cy="600075"/>
            <wp:effectExtent l="19050" t="0" r="9525" b="0"/>
            <wp:docPr id="3" name="Picture 7" descr="C:\Documents and Settings\Ilga\My Documents\Local Settings\Temp\NaisView\I0027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Ilga\My Documents\Local Settings\Temp\NaisView\I0027564.jpg"/>
                    <pic:cNvPicPr>
                      <a:picLocks noChangeAspect="1" noChangeArrowheads="1"/>
                    </pic:cNvPicPr>
                  </pic:nvPicPr>
                  <pic:blipFill>
                    <a:blip r:embed="rId6" r:link="rId7"/>
                    <a:srcRect/>
                    <a:stretch>
                      <a:fillRect/>
                    </a:stretch>
                  </pic:blipFill>
                  <pic:spPr bwMode="auto">
                    <a:xfrm>
                      <a:off x="0" y="0"/>
                      <a:ext cx="1190625" cy="600075"/>
                    </a:xfrm>
                    <a:prstGeom prst="rect">
                      <a:avLst/>
                    </a:prstGeom>
                    <a:noFill/>
                    <a:ln w="9525">
                      <a:noFill/>
                      <a:miter lim="800000"/>
                      <a:headEnd/>
                      <a:tailEnd/>
                    </a:ln>
                  </pic:spPr>
                </pic:pic>
              </a:graphicData>
            </a:graphic>
          </wp:inline>
        </w:drawing>
      </w:r>
    </w:p>
    <w:p w:rsidR="005669AA" w:rsidRPr="00554D80" w:rsidRDefault="005669AA" w:rsidP="005669AA">
      <w:pPr>
        <w:pBdr>
          <w:bottom w:val="single" w:sz="4" w:space="1" w:color="auto"/>
        </w:pBdr>
        <w:spacing w:before="120"/>
        <w:jc w:val="center"/>
      </w:pPr>
    </w:p>
    <w:p w:rsidR="005669AA" w:rsidRDefault="005669AA" w:rsidP="005669AA">
      <w:pPr>
        <w:rPr>
          <w:i/>
        </w:rPr>
      </w:pPr>
    </w:p>
    <w:p w:rsidR="005669AA" w:rsidRPr="00AE27D6" w:rsidRDefault="005669AA" w:rsidP="005669AA">
      <w:pPr>
        <w:jc w:val="center"/>
        <w:rPr>
          <w:b/>
          <w:sz w:val="28"/>
          <w:szCs w:val="28"/>
        </w:rPr>
      </w:pPr>
      <w:r w:rsidRPr="00AE27D6">
        <w:rPr>
          <w:b/>
          <w:sz w:val="28"/>
          <w:szCs w:val="28"/>
        </w:rPr>
        <w:t>„</w:t>
      </w:r>
      <w:r w:rsidR="00AE27D6" w:rsidRPr="00AE27D6">
        <w:rPr>
          <w:b/>
          <w:sz w:val="28"/>
          <w:szCs w:val="28"/>
        </w:rPr>
        <w:t>Mēbeļu izgatavošana, piegāde un uzstādīšana Rēzeknes tehnikumam</w:t>
      </w:r>
      <w:r w:rsidRPr="00AE27D6">
        <w:rPr>
          <w:b/>
          <w:sz w:val="28"/>
          <w:szCs w:val="28"/>
        </w:rPr>
        <w:t>”</w:t>
      </w:r>
    </w:p>
    <w:p w:rsidR="005669AA" w:rsidRPr="00AE27D6" w:rsidRDefault="005669AA" w:rsidP="005669AA">
      <w:pPr>
        <w:jc w:val="center"/>
        <w:rPr>
          <w:rFonts w:eastAsia="Calibri"/>
          <w:b/>
          <w:sz w:val="28"/>
          <w:szCs w:val="28"/>
        </w:rPr>
      </w:pPr>
      <w:r w:rsidRPr="00AE27D6">
        <w:rPr>
          <w:rFonts w:eastAsia="Calibri"/>
          <w:b/>
          <w:sz w:val="28"/>
          <w:szCs w:val="28"/>
        </w:rPr>
        <w:t>(</w:t>
      </w:r>
      <w:r w:rsidR="00AE27D6" w:rsidRPr="00AE27D6">
        <w:rPr>
          <w:b/>
          <w:sz w:val="28"/>
          <w:szCs w:val="28"/>
        </w:rPr>
        <w:t>ID Nr.RT2015/11-8.ERAF</w:t>
      </w:r>
      <w:r w:rsidRPr="00AE27D6">
        <w:rPr>
          <w:rFonts w:eastAsia="Calibri"/>
          <w:b/>
          <w:sz w:val="28"/>
          <w:szCs w:val="28"/>
        </w:rPr>
        <w:t>)</w:t>
      </w:r>
    </w:p>
    <w:p w:rsidR="005669AA" w:rsidRPr="005669AA" w:rsidRDefault="005669AA" w:rsidP="005669AA">
      <w:pPr>
        <w:jc w:val="center"/>
        <w:rPr>
          <w:b/>
          <w:sz w:val="28"/>
          <w:szCs w:val="28"/>
        </w:rPr>
      </w:pPr>
    </w:p>
    <w:p w:rsidR="005669AA" w:rsidRPr="005669AA" w:rsidRDefault="005669AA" w:rsidP="005669AA">
      <w:pPr>
        <w:pStyle w:val="BodyText"/>
        <w:ind w:right="26"/>
        <w:jc w:val="both"/>
        <w:rPr>
          <w:i w:val="0"/>
        </w:rPr>
      </w:pPr>
      <w:r w:rsidRPr="005669AA">
        <w:rPr>
          <w:i w:val="0"/>
        </w:rPr>
        <w:t xml:space="preserve">Iepirkumu komisija ir saņēmusi pretendenta jautājumus par atklātu </w:t>
      </w:r>
      <w:r w:rsidRPr="00AE27D6">
        <w:rPr>
          <w:i w:val="0"/>
        </w:rPr>
        <w:t>konkursu „</w:t>
      </w:r>
      <w:r w:rsidR="00AE27D6" w:rsidRPr="00AE27D6">
        <w:rPr>
          <w:i w:val="0"/>
        </w:rPr>
        <w:t>Mēbeļu izgatavošana, piegāde un uzstādīšana Rēzeknes tehnikumam</w:t>
      </w:r>
      <w:r w:rsidRPr="00AE27D6">
        <w:rPr>
          <w:bCs w:val="0"/>
          <w:i w:val="0"/>
          <w:iCs w:val="0"/>
        </w:rPr>
        <w:t>”</w:t>
      </w:r>
      <w:r w:rsidRPr="005669AA">
        <w:rPr>
          <w:bCs w:val="0"/>
          <w:i w:val="0"/>
          <w:iCs w:val="0"/>
        </w:rPr>
        <w:t xml:space="preserve"> (</w:t>
      </w:r>
      <w:r w:rsidR="00AE27D6">
        <w:rPr>
          <w:rFonts w:eastAsia="Calibri"/>
          <w:i w:val="0"/>
        </w:rPr>
        <w:t>ID.Nr.RT2015/11-8</w:t>
      </w:r>
      <w:r w:rsidRPr="005669AA">
        <w:rPr>
          <w:rFonts w:eastAsia="Calibri"/>
          <w:i w:val="0"/>
        </w:rPr>
        <w:t>.ERAF</w:t>
      </w:r>
      <w:r>
        <w:rPr>
          <w:i w:val="0"/>
        </w:rPr>
        <w:t>), izskatījusi to</w:t>
      </w:r>
      <w:r w:rsidR="00AA3260">
        <w:rPr>
          <w:i w:val="0"/>
        </w:rPr>
        <w:t>s un sniedz atbildes uz tiem</w:t>
      </w:r>
      <w:r w:rsidRPr="005669AA">
        <w:rPr>
          <w:i w:val="0"/>
        </w:rPr>
        <w:t>.</w:t>
      </w:r>
    </w:p>
    <w:p w:rsidR="005669AA" w:rsidRPr="005669AA" w:rsidRDefault="005669AA" w:rsidP="005669AA">
      <w:pPr>
        <w:pStyle w:val="c10"/>
        <w:rPr>
          <w:rStyle w:val="c9"/>
          <w:color w:val="000000"/>
        </w:rPr>
      </w:pPr>
    </w:p>
    <w:tbl>
      <w:tblPr>
        <w:tblStyle w:val="TableGrid"/>
        <w:tblW w:w="0" w:type="auto"/>
        <w:tblLook w:val="04A0"/>
      </w:tblPr>
      <w:tblGrid>
        <w:gridCol w:w="1242"/>
        <w:gridCol w:w="4306"/>
        <w:gridCol w:w="4306"/>
      </w:tblGrid>
      <w:tr w:rsidR="00105B38" w:rsidTr="00105B38">
        <w:tc>
          <w:tcPr>
            <w:tcW w:w="1242" w:type="dxa"/>
          </w:tcPr>
          <w:p w:rsidR="00105B38" w:rsidRDefault="00105B38" w:rsidP="00105B38">
            <w:pPr>
              <w:pStyle w:val="c10"/>
              <w:jc w:val="center"/>
              <w:rPr>
                <w:rStyle w:val="c9"/>
                <w:b/>
                <w:color w:val="000000"/>
              </w:rPr>
            </w:pPr>
            <w:r>
              <w:rPr>
                <w:rStyle w:val="c9"/>
                <w:b/>
                <w:color w:val="000000"/>
              </w:rPr>
              <w:t>Nr.p.k.</w:t>
            </w:r>
          </w:p>
        </w:tc>
        <w:tc>
          <w:tcPr>
            <w:tcW w:w="4306" w:type="dxa"/>
          </w:tcPr>
          <w:p w:rsidR="00105B38" w:rsidRDefault="00105B38" w:rsidP="00105B38">
            <w:pPr>
              <w:pStyle w:val="c10"/>
              <w:jc w:val="center"/>
              <w:rPr>
                <w:rStyle w:val="c9"/>
                <w:b/>
                <w:color w:val="000000"/>
              </w:rPr>
            </w:pPr>
            <w:r w:rsidRPr="005669AA">
              <w:rPr>
                <w:rStyle w:val="c9"/>
                <w:b/>
                <w:color w:val="000000"/>
              </w:rPr>
              <w:t>Jautājums</w:t>
            </w:r>
          </w:p>
        </w:tc>
        <w:tc>
          <w:tcPr>
            <w:tcW w:w="4306" w:type="dxa"/>
          </w:tcPr>
          <w:p w:rsidR="00105B38" w:rsidRDefault="00105B38" w:rsidP="00105B38">
            <w:pPr>
              <w:pStyle w:val="c10"/>
              <w:jc w:val="center"/>
              <w:rPr>
                <w:rStyle w:val="c9"/>
                <w:b/>
                <w:color w:val="000000"/>
              </w:rPr>
            </w:pPr>
            <w:r w:rsidRPr="005669AA">
              <w:rPr>
                <w:rStyle w:val="c9"/>
                <w:b/>
                <w:color w:val="000000"/>
              </w:rPr>
              <w:t>Atbilde</w:t>
            </w:r>
          </w:p>
        </w:tc>
      </w:tr>
      <w:tr w:rsidR="00105B38" w:rsidTr="00105B38">
        <w:tc>
          <w:tcPr>
            <w:tcW w:w="1242" w:type="dxa"/>
          </w:tcPr>
          <w:p w:rsidR="00105B38" w:rsidRPr="00105B38" w:rsidRDefault="00105B38" w:rsidP="00105B38">
            <w:pPr>
              <w:pStyle w:val="c10"/>
              <w:jc w:val="center"/>
              <w:rPr>
                <w:rStyle w:val="c9"/>
                <w:color w:val="000000"/>
              </w:rPr>
            </w:pPr>
            <w:r w:rsidRPr="00105B38">
              <w:rPr>
                <w:rStyle w:val="c9"/>
                <w:color w:val="000000"/>
              </w:rPr>
              <w:t>1.</w:t>
            </w:r>
          </w:p>
        </w:tc>
        <w:tc>
          <w:tcPr>
            <w:tcW w:w="4306" w:type="dxa"/>
          </w:tcPr>
          <w:p w:rsidR="00105B38" w:rsidRDefault="00AE27D6" w:rsidP="00AE27D6">
            <w:pPr>
              <w:pStyle w:val="c10"/>
              <w:spacing w:before="120" w:after="120"/>
              <w:jc w:val="both"/>
              <w:rPr>
                <w:rStyle w:val="c9"/>
                <w:b/>
                <w:color w:val="000000"/>
              </w:rPr>
            </w:pPr>
            <w:r>
              <w:t>Saskaņā ar tehnisko specifikāciju 2.iepirkuma daļai krēsliem POPPY tiek pieprasīts audums ar 150 000 Martidale cikliem, taču saskaņā ar izgatavotājrūpnīcas informāciju audumam Relax Bico ir tikai 100 000 Martidale ciklu. Vai tā ir drukas kļūda vai arī ar kādu audumu aizstāt Relax Bico audumu?</w:t>
            </w:r>
          </w:p>
        </w:tc>
        <w:tc>
          <w:tcPr>
            <w:tcW w:w="4306" w:type="dxa"/>
          </w:tcPr>
          <w:p w:rsidR="00105B38" w:rsidRPr="00105B38" w:rsidRDefault="00AE27D6" w:rsidP="00AE27D6">
            <w:pPr>
              <w:spacing w:before="120" w:after="120"/>
              <w:jc w:val="both"/>
              <w:rPr>
                <w:rStyle w:val="c9"/>
                <w:color w:val="000000"/>
              </w:rPr>
            </w:pPr>
            <w:r>
              <w:t xml:space="preserve">Piedāvātajam audumam ir jābūt ar </w:t>
            </w:r>
            <w:r>
              <w:br/>
              <w:t>150 000 Martidale nodiluma cikliem. Pretendents var piedāvāt ekvivalentu audumu pēc tehniskajā specifikācijā prasītā auduma sastāva un dekora.</w:t>
            </w:r>
          </w:p>
        </w:tc>
      </w:tr>
      <w:tr w:rsidR="00AE27D6" w:rsidTr="00105B38">
        <w:tc>
          <w:tcPr>
            <w:tcW w:w="1242" w:type="dxa"/>
          </w:tcPr>
          <w:p w:rsidR="00AE27D6" w:rsidRPr="00105B38" w:rsidRDefault="00AE27D6" w:rsidP="00105B38">
            <w:pPr>
              <w:pStyle w:val="c10"/>
              <w:jc w:val="center"/>
              <w:rPr>
                <w:rStyle w:val="c9"/>
                <w:color w:val="000000"/>
              </w:rPr>
            </w:pPr>
            <w:r>
              <w:rPr>
                <w:rStyle w:val="c9"/>
                <w:color w:val="000000"/>
              </w:rPr>
              <w:t>2.</w:t>
            </w:r>
          </w:p>
        </w:tc>
        <w:tc>
          <w:tcPr>
            <w:tcW w:w="4306" w:type="dxa"/>
          </w:tcPr>
          <w:p w:rsidR="00AE27D6" w:rsidRPr="005669AA" w:rsidRDefault="00AE27D6" w:rsidP="00AE27D6">
            <w:pPr>
              <w:pStyle w:val="c10"/>
              <w:spacing w:before="120" w:after="120"/>
              <w:jc w:val="both"/>
              <w:rPr>
                <w:rStyle w:val="c9"/>
                <w:color w:val="000000"/>
              </w:rPr>
            </w:pPr>
            <w:r>
              <w:t>Ar kādu laminātu aizstāt krēsliem POPPY PP232 un POPPY PP238 pieprasīto HPL dekoru Abet Laminati 619 Grey Maple, jo rūpnīca piedāvā tikai melnu un baltu laminējumu?</w:t>
            </w:r>
          </w:p>
        </w:tc>
        <w:tc>
          <w:tcPr>
            <w:tcW w:w="4306" w:type="dxa"/>
          </w:tcPr>
          <w:p w:rsidR="00AE27D6" w:rsidRPr="005669AA" w:rsidRDefault="00AE27D6" w:rsidP="00AE27D6">
            <w:pPr>
              <w:spacing w:before="120" w:after="120"/>
              <w:jc w:val="both"/>
              <w:rPr>
                <w:rStyle w:val="c9"/>
                <w:color w:val="000000"/>
              </w:rPr>
            </w:pPr>
            <w:r>
              <w:t>Krēsliem POPPY PP232 un POPPY PP238 HPL dekoram ir jābūt atbil</w:t>
            </w:r>
            <w:r w:rsidR="0001297B">
              <w:t>s</w:t>
            </w:r>
            <w:r>
              <w:t>tošam tehniskajā specifikācijā norādītajām prasībām vai identiskam pēc norādītā dekora Abet Laminati 619 Grey Maple.</w:t>
            </w:r>
          </w:p>
        </w:tc>
      </w:tr>
    </w:tbl>
    <w:p w:rsidR="00105B38" w:rsidRDefault="00105B38" w:rsidP="005669AA">
      <w:pPr>
        <w:pStyle w:val="c10"/>
        <w:rPr>
          <w:rStyle w:val="c9"/>
          <w:b/>
          <w:color w:val="000000"/>
        </w:rPr>
      </w:pPr>
    </w:p>
    <w:p w:rsidR="005669AA" w:rsidRDefault="005669AA"/>
    <w:p w:rsidR="005669AA" w:rsidRPr="005669AA" w:rsidRDefault="005669AA"/>
    <w:p w:rsidR="005669AA" w:rsidRPr="005669AA" w:rsidRDefault="00AE27D6">
      <w:r>
        <w:t>18.05.2015</w:t>
      </w:r>
      <w:r w:rsidR="005669AA" w:rsidRPr="005669AA">
        <w:t>.</w:t>
      </w:r>
      <w:bookmarkStart w:id="0" w:name="_GoBack"/>
      <w:bookmarkEnd w:id="0"/>
    </w:p>
    <w:sectPr w:rsidR="005669AA" w:rsidRPr="005669AA" w:rsidSect="005669AA">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stylePaneFormatFilter w:val="3F01"/>
  <w:defaultTabStop w:val="720"/>
  <w:characterSpacingControl w:val="doNotCompress"/>
  <w:compat/>
  <w:rsids>
    <w:rsidRoot w:val="005669AA"/>
    <w:rsid w:val="0001297B"/>
    <w:rsid w:val="000D7039"/>
    <w:rsid w:val="00105B38"/>
    <w:rsid w:val="00135C05"/>
    <w:rsid w:val="00146A74"/>
    <w:rsid w:val="001F3FD8"/>
    <w:rsid w:val="00312FAF"/>
    <w:rsid w:val="00371D51"/>
    <w:rsid w:val="00565DA6"/>
    <w:rsid w:val="005669AA"/>
    <w:rsid w:val="00775D28"/>
    <w:rsid w:val="00935D16"/>
    <w:rsid w:val="00957C44"/>
    <w:rsid w:val="00A872A7"/>
    <w:rsid w:val="00AA3260"/>
    <w:rsid w:val="00AC1937"/>
    <w:rsid w:val="00AE27D6"/>
    <w:rsid w:val="00BE04C2"/>
    <w:rsid w:val="00C43531"/>
    <w:rsid w:val="00C628DD"/>
    <w:rsid w:val="00D01A3E"/>
    <w:rsid w:val="00E059C8"/>
    <w:rsid w:val="00E63E83"/>
    <w:rsid w:val="00E70D38"/>
    <w:rsid w:val="00F82385"/>
    <w:rsid w:val="00FD0CF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
    <w:name w:val="c10"/>
    <w:basedOn w:val="Normal"/>
    <w:rsid w:val="005669AA"/>
    <w:pPr>
      <w:spacing w:before="138" w:after="138"/>
    </w:pPr>
  </w:style>
  <w:style w:type="character" w:customStyle="1" w:styleId="c9">
    <w:name w:val="c9"/>
    <w:basedOn w:val="DefaultParagraphFont"/>
    <w:rsid w:val="005669AA"/>
  </w:style>
  <w:style w:type="character" w:customStyle="1" w:styleId="c11">
    <w:name w:val="c11"/>
    <w:basedOn w:val="DefaultParagraphFont"/>
    <w:rsid w:val="005669AA"/>
  </w:style>
  <w:style w:type="paragraph" w:styleId="BodyText">
    <w:name w:val="Body Text"/>
    <w:basedOn w:val="Normal"/>
    <w:link w:val="BodyTextChar"/>
    <w:unhideWhenUsed/>
    <w:rsid w:val="005669AA"/>
    <w:rPr>
      <w:b/>
      <w:bCs/>
      <w:i/>
      <w:iCs/>
      <w:lang w:eastAsia="en-US"/>
    </w:rPr>
  </w:style>
  <w:style w:type="character" w:customStyle="1" w:styleId="BodyTextChar">
    <w:name w:val="Body Text Char"/>
    <w:basedOn w:val="DefaultParagraphFont"/>
    <w:link w:val="BodyText"/>
    <w:rsid w:val="005669AA"/>
    <w:rPr>
      <w:b/>
      <w:bCs/>
      <w:i/>
      <w:iCs/>
      <w:sz w:val="24"/>
      <w:szCs w:val="24"/>
      <w:lang w:eastAsia="en-US"/>
    </w:rPr>
  </w:style>
  <w:style w:type="paragraph" w:styleId="BalloonText">
    <w:name w:val="Balloon Text"/>
    <w:basedOn w:val="Normal"/>
    <w:link w:val="BalloonTextChar"/>
    <w:rsid w:val="005669AA"/>
    <w:rPr>
      <w:rFonts w:ascii="Tahoma" w:hAnsi="Tahoma" w:cs="Tahoma"/>
      <w:sz w:val="16"/>
      <w:szCs w:val="16"/>
    </w:rPr>
  </w:style>
  <w:style w:type="character" w:customStyle="1" w:styleId="BalloonTextChar">
    <w:name w:val="Balloon Text Char"/>
    <w:basedOn w:val="DefaultParagraphFont"/>
    <w:link w:val="BalloonText"/>
    <w:rsid w:val="005669AA"/>
    <w:rPr>
      <w:rFonts w:ascii="Tahoma" w:hAnsi="Tahoma" w:cs="Tahoma"/>
      <w:sz w:val="16"/>
      <w:szCs w:val="16"/>
    </w:rPr>
  </w:style>
  <w:style w:type="table" w:styleId="TableGrid">
    <w:name w:val="Table Grid"/>
    <w:basedOn w:val="TableNormal"/>
    <w:rsid w:val="00105B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
    <w:name w:val="c10"/>
    <w:basedOn w:val="Normal"/>
    <w:rsid w:val="005669AA"/>
    <w:pPr>
      <w:spacing w:before="138" w:after="138"/>
    </w:pPr>
  </w:style>
  <w:style w:type="character" w:customStyle="1" w:styleId="c9">
    <w:name w:val="c9"/>
    <w:basedOn w:val="DefaultParagraphFont"/>
    <w:rsid w:val="005669AA"/>
  </w:style>
  <w:style w:type="character" w:customStyle="1" w:styleId="c11">
    <w:name w:val="c11"/>
    <w:basedOn w:val="DefaultParagraphFont"/>
    <w:rsid w:val="005669AA"/>
  </w:style>
  <w:style w:type="paragraph" w:styleId="BodyText">
    <w:name w:val="Body Text"/>
    <w:basedOn w:val="Normal"/>
    <w:link w:val="BodyTextChar"/>
    <w:unhideWhenUsed/>
    <w:rsid w:val="005669AA"/>
    <w:rPr>
      <w:b/>
      <w:bCs/>
      <w:i/>
      <w:iCs/>
      <w:lang w:eastAsia="en-US"/>
    </w:rPr>
  </w:style>
  <w:style w:type="character" w:customStyle="1" w:styleId="BodyTextChar">
    <w:name w:val="Body Text Char"/>
    <w:basedOn w:val="DefaultParagraphFont"/>
    <w:link w:val="BodyText"/>
    <w:rsid w:val="005669AA"/>
    <w:rPr>
      <w:b/>
      <w:bCs/>
      <w:i/>
      <w:iCs/>
      <w:sz w:val="24"/>
      <w:szCs w:val="24"/>
      <w:lang w:eastAsia="en-US"/>
    </w:rPr>
  </w:style>
  <w:style w:type="paragraph" w:styleId="BalloonText">
    <w:name w:val="Balloon Text"/>
    <w:basedOn w:val="Normal"/>
    <w:link w:val="BalloonTextChar"/>
    <w:rsid w:val="005669AA"/>
    <w:rPr>
      <w:rFonts w:ascii="Tahoma" w:hAnsi="Tahoma" w:cs="Tahoma"/>
      <w:sz w:val="16"/>
      <w:szCs w:val="16"/>
    </w:rPr>
  </w:style>
  <w:style w:type="character" w:customStyle="1" w:styleId="BalloonTextChar">
    <w:name w:val="Balloon Text Char"/>
    <w:basedOn w:val="DefaultParagraphFont"/>
    <w:link w:val="BalloonText"/>
    <w:rsid w:val="005669AA"/>
    <w:rPr>
      <w:rFonts w:ascii="Tahoma" w:hAnsi="Tahoma" w:cs="Tahoma"/>
      <w:sz w:val="16"/>
      <w:szCs w:val="16"/>
    </w:rPr>
  </w:style>
  <w:style w:type="table" w:styleId="TableGrid">
    <w:name w:val="Table Grid"/>
    <w:basedOn w:val="TableNormal"/>
    <w:rsid w:val="00105B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527987375">
      <w:bodyDiv w:val="1"/>
      <w:marLeft w:val="138"/>
      <w:marRight w:val="138"/>
      <w:marTop w:val="0"/>
      <w:marBottom w:val="0"/>
      <w:divBdr>
        <w:top w:val="none" w:sz="0" w:space="0" w:color="auto"/>
        <w:left w:val="none" w:sz="0" w:space="0" w:color="auto"/>
        <w:bottom w:val="none" w:sz="0" w:space="0" w:color="auto"/>
        <w:right w:val="none" w:sz="0" w:space="0" w:color="auto"/>
      </w:divBdr>
      <w:divsChild>
        <w:div w:id="1236548094">
          <w:marLeft w:val="0"/>
          <w:marRight w:val="0"/>
          <w:marTop w:val="0"/>
          <w:marBottom w:val="0"/>
          <w:divBdr>
            <w:top w:val="single" w:sz="2" w:space="7" w:color="CCCCCC"/>
            <w:left w:val="single" w:sz="8" w:space="7" w:color="CCCCCC"/>
            <w:bottom w:val="single" w:sz="8" w:space="7" w:color="CCCCCC"/>
            <w:right w:val="single" w:sz="8" w:space="7" w:color="CCCCCC"/>
          </w:divBdr>
          <w:divsChild>
            <w:div w:id="1950891751">
              <w:marLeft w:val="0"/>
              <w:marRight w:val="0"/>
              <w:marTop w:val="0"/>
              <w:marBottom w:val="0"/>
              <w:divBdr>
                <w:top w:val="none" w:sz="0" w:space="0" w:color="auto"/>
                <w:left w:val="none" w:sz="0" w:space="0" w:color="auto"/>
                <w:bottom w:val="none" w:sz="0" w:space="0" w:color="auto"/>
                <w:right w:val="none" w:sz="0" w:space="0" w:color="auto"/>
              </w:divBdr>
              <w:divsChild>
                <w:div w:id="400449626">
                  <w:marLeft w:val="0"/>
                  <w:marRight w:val="0"/>
                  <w:marTop w:val="0"/>
                  <w:marBottom w:val="0"/>
                  <w:divBdr>
                    <w:top w:val="none" w:sz="0" w:space="0" w:color="auto"/>
                    <w:left w:val="none" w:sz="0" w:space="0" w:color="auto"/>
                    <w:bottom w:val="none" w:sz="0" w:space="0" w:color="auto"/>
                    <w:right w:val="none" w:sz="0" w:space="0" w:color="auto"/>
                  </w:divBdr>
                  <w:divsChild>
                    <w:div w:id="1458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ocuments%20and%20Settings\Ilga\My%20Documents\Local%20Settings\Temp\NaisView\I002756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apv</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kristine.pavelkovska</dc:creator>
  <cp:lastModifiedBy>kristine.pavelkovska</cp:lastModifiedBy>
  <cp:revision>3</cp:revision>
  <cp:lastPrinted>2014-12-09T14:22:00Z</cp:lastPrinted>
  <dcterms:created xsi:type="dcterms:W3CDTF">2015-05-18T07:55:00Z</dcterms:created>
  <dcterms:modified xsi:type="dcterms:W3CDTF">2015-05-18T07:56:00Z</dcterms:modified>
</cp:coreProperties>
</file>